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7950B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single" w:color="B7950B" w:sz="12" w:space="4"/>
        <w:left w:val="single" w:color="B7950B" w:sz="12" w:space="4"/>
        <w:bottom w:val="single" w:color="B7950B" w:sz="12" w:space="4"/>
        <w:right w:val="single" w:color="B7950B" w:sz="12" w:space="4"/>
        <w:insideH w:val="none" w:color="FFFFFF" w:sz="0" w:space="4"/>
        <w:insideV w:val="none" w:color="FFFFFF" w:sz="0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220"/>
      <w:gridCol w:w="4340"/>
      <w:gridCol w:w="3532"/>
    </w:tblGrid>
    <w:tr>
      <w:tc>
        <w:tcPr>
          <w:tcW w:w="110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olor w:val="7D6608"/>
              <w:sz w:val="19"/>
              <w:szCs w:val="19"/>
            </w:rPr>
            <w:t xml:space="preserve">Sample Company Ltd</w:t>
          </w:r>
        </w:p>
      </w:tc>
      <w:tc>
        <w:tcPr>
          <w:tcW w:w="21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6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000000"/>
              <w:sz w:val="21"/>
              <w:szCs w:val="21"/>
            </w:rPr>
            <w:t xml:space="preserve">STANDARD OPERATING PROCEDURE</w:t>
          </w:r>
        </w:p>
        <w:p>
          <w:pPr>
            <w:spacing w:before="0" w:after="0"/>
            <w:jc w:val="center"/>
          </w:pPr>
          <w:r>
            <w:rPr>
              <w:rFonts w:ascii="Calibri" w:hAnsi="Calibri" w:cs="Calibri" w:eastAsia="Calibri"/>
              <w:b/>
              <w:bCs/>
              <w:color w:val="000000"/>
              <w:sz w:val="20"/>
              <w:szCs w:val="20"/>
            </w:rPr>
            <w:t xml:space="preserve">Sample Document Title</w:t>
          </w:r>
        </w:p>
        <w:p>
          <w:pPr>
            <w:spacing w:before="60" w:after="60"/>
            <w:shd w:val="clear" w:color="auto" w:fill="B7950B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FFFFFF"/>
              <w:sz w:val="15"/>
              <w:szCs w:val="15"/>
            </w:rPr>
            <w:t xml:space="preserve">Document Classification: Controlled</w:t>
          </w:r>
        </w:p>
      </w:tc>
      <w:tc>
        <w:tcPr>
          <w:tcW w:w="17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